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1E69" w:rsidRDefault="00011E69">
      <w:pPr>
        <w:pStyle w:val="ConsPlusTitlePage"/>
      </w:pPr>
      <w:r>
        <w:t xml:space="preserve">Документ предоставлен </w:t>
      </w:r>
      <w:hyperlink r:id="rId4">
        <w:r>
          <w:rPr>
            <w:color w:val="0000FF"/>
          </w:rPr>
          <w:t>КонсультантПлюс</w:t>
        </w:r>
      </w:hyperlink>
      <w:r>
        <w:br/>
      </w:r>
    </w:p>
    <w:p w:rsidR="00011E69" w:rsidRDefault="00011E69">
      <w:pPr>
        <w:pStyle w:val="ConsPlusNormal"/>
        <w:jc w:val="both"/>
        <w:outlineLvl w:val="0"/>
      </w:pPr>
    </w:p>
    <w:p w:rsidR="00011E69" w:rsidRDefault="00011E69">
      <w:pPr>
        <w:pStyle w:val="ConsPlusTitle"/>
        <w:jc w:val="center"/>
        <w:outlineLvl w:val="0"/>
      </w:pPr>
      <w:r>
        <w:t>ПРАВИТЕЛЬСТВО КАЛУЖСКОЙ ОБЛАСТИ</w:t>
      </w:r>
    </w:p>
    <w:p w:rsidR="00011E69" w:rsidRDefault="00011E69">
      <w:pPr>
        <w:pStyle w:val="ConsPlusTitle"/>
        <w:jc w:val="both"/>
      </w:pPr>
    </w:p>
    <w:p w:rsidR="00011E69" w:rsidRDefault="00011E69">
      <w:pPr>
        <w:pStyle w:val="ConsPlusTitle"/>
        <w:jc w:val="center"/>
      </w:pPr>
      <w:r>
        <w:t>ПОСТАНОВЛЕНИЕ</w:t>
      </w:r>
    </w:p>
    <w:p w:rsidR="00011E69" w:rsidRDefault="00011E69">
      <w:pPr>
        <w:pStyle w:val="ConsPlusTitle"/>
        <w:jc w:val="center"/>
      </w:pPr>
      <w:r>
        <w:t>от 10 января 2024 г. N 27</w:t>
      </w:r>
    </w:p>
    <w:p w:rsidR="00011E69" w:rsidRDefault="00011E69">
      <w:pPr>
        <w:pStyle w:val="ConsPlusTitle"/>
        <w:jc w:val="both"/>
      </w:pPr>
    </w:p>
    <w:p w:rsidR="00011E69" w:rsidRDefault="00011E69">
      <w:pPr>
        <w:pStyle w:val="ConsPlusTitle"/>
        <w:jc w:val="center"/>
      </w:pPr>
      <w:r>
        <w:t>ОБ УТВЕРЖДЕНИИ ГОСУДАРСТВЕННОЙ ПРОГРАММЫ КАЛУЖСКОЙ ОБЛАСТИ</w:t>
      </w:r>
    </w:p>
    <w:p w:rsidR="00011E69" w:rsidRDefault="00011E69">
      <w:pPr>
        <w:pStyle w:val="ConsPlusTitle"/>
        <w:jc w:val="center"/>
      </w:pPr>
      <w:r>
        <w:t>"ЭКОНОМИЧЕСКОЕ РАЗВИТИЕ В КАЛУЖСКОЙ ОБЛАСТИ"</w:t>
      </w:r>
    </w:p>
    <w:p w:rsidR="00011E69" w:rsidRDefault="00011E69">
      <w:pPr>
        <w:pStyle w:val="ConsPlusNormal"/>
        <w:jc w:val="both"/>
      </w:pPr>
    </w:p>
    <w:p w:rsidR="00011E69" w:rsidRDefault="00011E69">
      <w:pPr>
        <w:pStyle w:val="ConsPlusNormal"/>
        <w:ind w:firstLine="540"/>
        <w:jc w:val="both"/>
      </w:pPr>
      <w:r>
        <w:t xml:space="preserve">В соответствии с </w:t>
      </w:r>
      <w:hyperlink r:id="rId5">
        <w:r>
          <w:rPr>
            <w:color w:val="0000FF"/>
          </w:rPr>
          <w:t>постановлением</w:t>
        </w:r>
      </w:hyperlink>
      <w:r>
        <w:t xml:space="preserve"> Правительства Калужской области от 17.07.2013 N 366 "Об утверждении Порядка принятия решения о разработке государственных программ Калужской области, их формирования и реализации и Порядка проведения оценки эффективности реализации государственных программ Калужской области" (в ред. постановлений Правительства Калужской области от 01.09.2014 N 521, от 15.12.2014 N 743, от 20.04.2015 N 209, от 27.07.2015 N 414, от 31.03.2016 N 208, от 23.09.2016 N 515, от 17.03.2017 N 128, от 31.07.2018 N 456, от 21.02.2019 N 117, от 12.09.2019 N 574, от 18.11.2019 N 724, от 08.09.2020 N 700, от 20.08.2021 N 539, от 29.05.2023 N 341), </w:t>
      </w:r>
      <w:hyperlink r:id="rId6">
        <w:r>
          <w:rPr>
            <w:color w:val="0000FF"/>
          </w:rPr>
          <w:t>постановлением</w:t>
        </w:r>
      </w:hyperlink>
      <w:r>
        <w:t xml:space="preserve"> Правительства Калужской области от 22.07.2013 N 370 "Об утверждении перечня государственных программ Калужской области" (в ред. постановлений Правительства Калужской области от 18.11.2013 N 613, от 07.02.2014 N 81, от 17.10.2014 N 614, от 31.12.2014 N 838, от 24.02.2015 N 103, от 20.04.2015 N 205, от 25.05.2017 N 321, от 10.08.2017 N 446, от 02.02.2018 N 77, от 02.08.2018 N 463, от 27.03.2019 N 186, от 28.03.2019 N 200, от 02.09.2019 N 557, от 24.08.2020 N 645, от 08.07.2022 N 501, от 11.11.2022 N 866, от 29.11.2022 N 926, от 07.07.2023 N 477, от 13.10.2023 N 708) Правительство Калужской области</w:t>
      </w:r>
    </w:p>
    <w:p w:rsidR="00011E69" w:rsidRDefault="00011E69">
      <w:pPr>
        <w:pStyle w:val="ConsPlusNormal"/>
        <w:spacing w:before="220"/>
        <w:ind w:firstLine="540"/>
        <w:jc w:val="both"/>
      </w:pPr>
      <w:r>
        <w:t>ПОСТАНОВЛЯЕТ:</w:t>
      </w:r>
    </w:p>
    <w:p w:rsidR="00011E69" w:rsidRDefault="00011E69">
      <w:pPr>
        <w:pStyle w:val="ConsPlusNormal"/>
        <w:jc w:val="both"/>
      </w:pPr>
    </w:p>
    <w:p w:rsidR="00011E69" w:rsidRDefault="00011E69">
      <w:pPr>
        <w:pStyle w:val="ConsPlusNormal"/>
        <w:ind w:firstLine="540"/>
        <w:jc w:val="both"/>
      </w:pPr>
      <w:r>
        <w:t xml:space="preserve">1. Утвердить государственную </w:t>
      </w:r>
      <w:hyperlink w:anchor="P27">
        <w:r>
          <w:rPr>
            <w:color w:val="0000FF"/>
          </w:rPr>
          <w:t>программу</w:t>
        </w:r>
      </w:hyperlink>
      <w:r>
        <w:t xml:space="preserve"> Калужской области "Экономическое развитие в Калужской области" согласно приложению к настоящему Постановлению.</w:t>
      </w:r>
    </w:p>
    <w:p w:rsidR="00011E69" w:rsidRDefault="00011E69">
      <w:pPr>
        <w:pStyle w:val="ConsPlusNormal"/>
        <w:spacing w:before="220"/>
        <w:ind w:firstLine="540"/>
        <w:jc w:val="both"/>
      </w:pPr>
      <w:r>
        <w:t>2. Настоящее Постановление вступает в силу с 1 января 2024 года.</w:t>
      </w:r>
    </w:p>
    <w:p w:rsidR="00011E69" w:rsidRDefault="00011E69">
      <w:pPr>
        <w:pStyle w:val="ConsPlusNormal"/>
        <w:jc w:val="both"/>
      </w:pPr>
    </w:p>
    <w:p w:rsidR="00011E69" w:rsidRDefault="00011E69">
      <w:pPr>
        <w:pStyle w:val="ConsPlusNormal"/>
        <w:jc w:val="right"/>
      </w:pPr>
      <w:r>
        <w:t>Губернатор Калужской области</w:t>
      </w:r>
    </w:p>
    <w:p w:rsidR="00011E69" w:rsidRDefault="00011E69">
      <w:pPr>
        <w:pStyle w:val="ConsPlusNormal"/>
        <w:jc w:val="right"/>
      </w:pPr>
      <w:r>
        <w:t>В.В.Шапша</w:t>
      </w:r>
    </w:p>
    <w:p w:rsidR="00011E69" w:rsidRDefault="00011E69">
      <w:pPr>
        <w:pStyle w:val="ConsPlusNormal"/>
        <w:jc w:val="both"/>
      </w:pPr>
    </w:p>
    <w:p w:rsidR="00011E69" w:rsidRDefault="00011E69">
      <w:pPr>
        <w:pStyle w:val="ConsPlusNormal"/>
        <w:jc w:val="both"/>
      </w:pPr>
    </w:p>
    <w:p w:rsidR="00011E69" w:rsidRDefault="00011E69">
      <w:pPr>
        <w:pStyle w:val="ConsPlusNormal"/>
        <w:jc w:val="both"/>
      </w:pPr>
    </w:p>
    <w:p w:rsidR="00011E69" w:rsidRDefault="00011E69">
      <w:pPr>
        <w:pStyle w:val="ConsPlusNormal"/>
        <w:jc w:val="both"/>
      </w:pPr>
    </w:p>
    <w:p w:rsidR="00011E69" w:rsidRDefault="00011E69">
      <w:pPr>
        <w:pStyle w:val="ConsPlusNormal"/>
        <w:jc w:val="both"/>
      </w:pPr>
    </w:p>
    <w:p w:rsidR="00011E69" w:rsidRDefault="00011E69">
      <w:pPr>
        <w:pStyle w:val="ConsPlusNormal"/>
        <w:jc w:val="right"/>
        <w:outlineLvl w:val="0"/>
      </w:pPr>
      <w:r>
        <w:t>Приложение</w:t>
      </w:r>
    </w:p>
    <w:p w:rsidR="00011E69" w:rsidRDefault="00011E69">
      <w:pPr>
        <w:pStyle w:val="ConsPlusNormal"/>
        <w:jc w:val="right"/>
      </w:pPr>
      <w:r>
        <w:t>к Постановлению</w:t>
      </w:r>
    </w:p>
    <w:p w:rsidR="00011E69" w:rsidRDefault="00011E69">
      <w:pPr>
        <w:pStyle w:val="ConsPlusNormal"/>
        <w:jc w:val="right"/>
      </w:pPr>
      <w:r>
        <w:t>Правительства Калужской области</w:t>
      </w:r>
    </w:p>
    <w:p w:rsidR="00011E69" w:rsidRDefault="00011E69">
      <w:pPr>
        <w:pStyle w:val="ConsPlusNormal"/>
        <w:jc w:val="right"/>
      </w:pPr>
      <w:r>
        <w:t>от 10 января 2024 г. N 27</w:t>
      </w:r>
    </w:p>
    <w:p w:rsidR="00011E69" w:rsidRDefault="00011E69">
      <w:pPr>
        <w:pStyle w:val="ConsPlusNormal"/>
        <w:jc w:val="both"/>
      </w:pPr>
    </w:p>
    <w:p w:rsidR="00011E69" w:rsidRDefault="00011E69">
      <w:pPr>
        <w:pStyle w:val="ConsPlusTitle"/>
        <w:jc w:val="center"/>
      </w:pPr>
      <w:bookmarkStart w:id="0" w:name="P27"/>
      <w:bookmarkEnd w:id="0"/>
      <w:r>
        <w:t>ГОСУДАРСТВЕННАЯ ПРОГРАММА</w:t>
      </w:r>
    </w:p>
    <w:p w:rsidR="00011E69" w:rsidRDefault="00011E69">
      <w:pPr>
        <w:pStyle w:val="ConsPlusTitle"/>
        <w:jc w:val="center"/>
      </w:pPr>
      <w:r>
        <w:t>КАЛУЖСКОЙ ОБЛАСТИ "ЭКОНОМИЧЕСКОЕ РАЗВИТИЕ В КАЛУЖСКОЙ</w:t>
      </w:r>
    </w:p>
    <w:p w:rsidR="00011E69" w:rsidRDefault="00011E69">
      <w:pPr>
        <w:pStyle w:val="ConsPlusTitle"/>
        <w:jc w:val="center"/>
      </w:pPr>
      <w:r>
        <w:t>ОБЛАСТИ"</w:t>
      </w:r>
    </w:p>
    <w:p w:rsidR="00011E69" w:rsidRDefault="00011E69">
      <w:pPr>
        <w:pStyle w:val="ConsPlusNormal"/>
        <w:jc w:val="both"/>
      </w:pPr>
    </w:p>
    <w:p w:rsidR="00011E69" w:rsidRDefault="00011E69">
      <w:pPr>
        <w:pStyle w:val="ConsPlusTitle"/>
        <w:jc w:val="center"/>
        <w:outlineLvl w:val="1"/>
      </w:pPr>
      <w:r>
        <w:t>ПАСПОРТ</w:t>
      </w:r>
    </w:p>
    <w:p w:rsidR="00011E69" w:rsidRDefault="00011E69">
      <w:pPr>
        <w:pStyle w:val="ConsPlusTitle"/>
        <w:jc w:val="center"/>
      </w:pPr>
      <w:r>
        <w:t>государственной программы Калужской области</w:t>
      </w:r>
    </w:p>
    <w:p w:rsidR="00011E69" w:rsidRDefault="00011E69">
      <w:pPr>
        <w:pStyle w:val="ConsPlusTitle"/>
        <w:jc w:val="center"/>
      </w:pPr>
      <w:r>
        <w:t>"Экономическое развитие в Калужской области"</w:t>
      </w:r>
    </w:p>
    <w:p w:rsidR="00011E69" w:rsidRDefault="00011E69">
      <w:pPr>
        <w:pStyle w:val="ConsPlusTitle"/>
        <w:jc w:val="center"/>
      </w:pPr>
      <w:r>
        <w:t>(далее - государственная программа)</w:t>
      </w:r>
    </w:p>
    <w:p w:rsidR="00011E69" w:rsidRDefault="00011E69">
      <w:pPr>
        <w:pStyle w:val="ConsPlusNormal"/>
        <w:jc w:val="both"/>
      </w:pPr>
    </w:p>
    <w:p w:rsidR="00011E69" w:rsidRDefault="00011E69">
      <w:pPr>
        <w:pStyle w:val="ConsPlusNormal"/>
        <w:sectPr w:rsidR="00011E69" w:rsidSect="0068715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68"/>
        <w:gridCol w:w="1644"/>
        <w:gridCol w:w="1144"/>
        <w:gridCol w:w="1144"/>
        <w:gridCol w:w="1024"/>
        <w:gridCol w:w="1024"/>
        <w:gridCol w:w="1024"/>
        <w:gridCol w:w="1024"/>
        <w:gridCol w:w="1024"/>
      </w:tblGrid>
      <w:tr w:rsidR="00011E69">
        <w:tc>
          <w:tcPr>
            <w:tcW w:w="2268" w:type="dxa"/>
          </w:tcPr>
          <w:p w:rsidR="00011E69" w:rsidRDefault="00011E69">
            <w:pPr>
              <w:pStyle w:val="ConsPlusNormal"/>
            </w:pPr>
            <w:r>
              <w:lastRenderedPageBreak/>
              <w:t>1. Ответственный исполнитель государственной программы</w:t>
            </w:r>
          </w:p>
        </w:tc>
        <w:tc>
          <w:tcPr>
            <w:tcW w:w="9052" w:type="dxa"/>
            <w:gridSpan w:val="8"/>
          </w:tcPr>
          <w:p w:rsidR="00011E69" w:rsidRDefault="00011E69">
            <w:pPr>
              <w:pStyle w:val="ConsPlusNormal"/>
            </w:pPr>
            <w:r>
              <w:t>Министерство экономического развития и промышленности Калужской области</w:t>
            </w:r>
          </w:p>
        </w:tc>
      </w:tr>
      <w:tr w:rsidR="00011E69">
        <w:tc>
          <w:tcPr>
            <w:tcW w:w="2268" w:type="dxa"/>
          </w:tcPr>
          <w:p w:rsidR="00011E69" w:rsidRDefault="00011E69">
            <w:pPr>
              <w:pStyle w:val="ConsPlusNormal"/>
            </w:pPr>
            <w:r>
              <w:t>2. Соисполнитель государственной программы</w:t>
            </w:r>
          </w:p>
        </w:tc>
        <w:tc>
          <w:tcPr>
            <w:tcW w:w="9052" w:type="dxa"/>
            <w:gridSpan w:val="8"/>
          </w:tcPr>
          <w:p w:rsidR="00011E69" w:rsidRDefault="00011E69">
            <w:pPr>
              <w:pStyle w:val="ConsPlusNormal"/>
            </w:pPr>
            <w:r>
              <w:t>Министерство экономического развития и промышленности Калужской области</w:t>
            </w:r>
          </w:p>
        </w:tc>
      </w:tr>
      <w:tr w:rsidR="00011E69">
        <w:tc>
          <w:tcPr>
            <w:tcW w:w="2268" w:type="dxa"/>
          </w:tcPr>
          <w:p w:rsidR="00011E69" w:rsidRDefault="00011E69">
            <w:pPr>
              <w:pStyle w:val="ConsPlusNormal"/>
            </w:pPr>
            <w:r>
              <w:t>3. Цель государственной программы</w:t>
            </w:r>
          </w:p>
        </w:tc>
        <w:tc>
          <w:tcPr>
            <w:tcW w:w="9052" w:type="dxa"/>
            <w:gridSpan w:val="8"/>
          </w:tcPr>
          <w:p w:rsidR="00011E69" w:rsidRDefault="00011E69">
            <w:pPr>
              <w:pStyle w:val="ConsPlusNormal"/>
            </w:pPr>
            <w:r>
              <w:t>Обеспечение прироста новых производств на территории Калужской области на 18,5% к 2029 году</w:t>
            </w:r>
          </w:p>
        </w:tc>
      </w:tr>
      <w:tr w:rsidR="00011E69">
        <w:tc>
          <w:tcPr>
            <w:tcW w:w="2268" w:type="dxa"/>
          </w:tcPr>
          <w:p w:rsidR="00011E69" w:rsidRDefault="00011E69">
            <w:pPr>
              <w:pStyle w:val="ConsPlusNormal"/>
            </w:pPr>
            <w:r>
              <w:t>4. Направления государственной программы/соисполнитель государственной программы</w:t>
            </w:r>
          </w:p>
        </w:tc>
        <w:tc>
          <w:tcPr>
            <w:tcW w:w="9052" w:type="dxa"/>
            <w:gridSpan w:val="8"/>
          </w:tcPr>
          <w:p w:rsidR="00011E69" w:rsidRDefault="00011E69">
            <w:pPr>
              <w:pStyle w:val="ConsPlusNormal"/>
            </w:pPr>
            <w:r>
              <w:t>1. Национальная экономика/министерство экономического развития и промышленности Калужской области.</w:t>
            </w:r>
          </w:p>
          <w:p w:rsidR="00011E69" w:rsidRDefault="00011E69">
            <w:pPr>
              <w:pStyle w:val="ConsPlusNormal"/>
            </w:pPr>
            <w:r>
              <w:t>2. Межбюджетные трансферты общего характера бюджетам бюджетной системы Российской Федерации/министерство экономического развития и промышленности Калужской области</w:t>
            </w:r>
          </w:p>
        </w:tc>
      </w:tr>
      <w:tr w:rsidR="00011E69">
        <w:tc>
          <w:tcPr>
            <w:tcW w:w="2268" w:type="dxa"/>
          </w:tcPr>
          <w:p w:rsidR="00011E69" w:rsidRDefault="00011E69">
            <w:pPr>
              <w:pStyle w:val="ConsPlusNormal"/>
            </w:pPr>
            <w:r>
              <w:t>5. Сроки и этапы реализации государственной программы</w:t>
            </w:r>
          </w:p>
        </w:tc>
        <w:tc>
          <w:tcPr>
            <w:tcW w:w="9052" w:type="dxa"/>
            <w:gridSpan w:val="8"/>
          </w:tcPr>
          <w:p w:rsidR="00011E69" w:rsidRDefault="00011E69">
            <w:pPr>
              <w:pStyle w:val="ConsPlusNormal"/>
            </w:pPr>
            <w:r>
              <w:t>2024 - 2029 годы, в один этап</w:t>
            </w:r>
          </w:p>
        </w:tc>
      </w:tr>
      <w:tr w:rsidR="00011E69">
        <w:tc>
          <w:tcPr>
            <w:tcW w:w="2268" w:type="dxa"/>
            <w:vMerge w:val="restart"/>
          </w:tcPr>
          <w:p w:rsidR="00011E69" w:rsidRDefault="00011E69">
            <w:pPr>
              <w:pStyle w:val="ConsPlusNormal"/>
            </w:pPr>
            <w:r>
              <w:t>6. Объемы финансирования государственной программы за счет бюджетных ассигнований</w:t>
            </w:r>
          </w:p>
        </w:tc>
        <w:tc>
          <w:tcPr>
            <w:tcW w:w="1644" w:type="dxa"/>
            <w:vMerge w:val="restart"/>
          </w:tcPr>
          <w:p w:rsidR="00011E69" w:rsidRDefault="00011E69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1144" w:type="dxa"/>
            <w:vMerge w:val="restart"/>
          </w:tcPr>
          <w:p w:rsidR="00011E69" w:rsidRDefault="00011E69">
            <w:pPr>
              <w:pStyle w:val="ConsPlusNormal"/>
              <w:jc w:val="center"/>
            </w:pPr>
            <w:r>
              <w:t>Всего (тыс. руб.)</w:t>
            </w:r>
          </w:p>
        </w:tc>
        <w:tc>
          <w:tcPr>
            <w:tcW w:w="6264" w:type="dxa"/>
            <w:gridSpan w:val="6"/>
          </w:tcPr>
          <w:p w:rsidR="00011E69" w:rsidRDefault="00011E69">
            <w:pPr>
              <w:pStyle w:val="ConsPlusNormal"/>
              <w:jc w:val="center"/>
            </w:pPr>
            <w:r>
              <w:t>В том числе по годам</w:t>
            </w:r>
          </w:p>
        </w:tc>
      </w:tr>
      <w:tr w:rsidR="00011E69">
        <w:tc>
          <w:tcPr>
            <w:tcW w:w="2268" w:type="dxa"/>
            <w:vMerge/>
          </w:tcPr>
          <w:p w:rsidR="00011E69" w:rsidRDefault="00011E69">
            <w:pPr>
              <w:pStyle w:val="ConsPlusNormal"/>
            </w:pPr>
          </w:p>
        </w:tc>
        <w:tc>
          <w:tcPr>
            <w:tcW w:w="1644" w:type="dxa"/>
            <w:vMerge/>
          </w:tcPr>
          <w:p w:rsidR="00011E69" w:rsidRDefault="00011E69">
            <w:pPr>
              <w:pStyle w:val="ConsPlusNormal"/>
            </w:pPr>
          </w:p>
        </w:tc>
        <w:tc>
          <w:tcPr>
            <w:tcW w:w="1144" w:type="dxa"/>
            <w:vMerge/>
          </w:tcPr>
          <w:p w:rsidR="00011E69" w:rsidRDefault="00011E69">
            <w:pPr>
              <w:pStyle w:val="ConsPlusNormal"/>
            </w:pPr>
          </w:p>
        </w:tc>
        <w:tc>
          <w:tcPr>
            <w:tcW w:w="1144" w:type="dxa"/>
          </w:tcPr>
          <w:p w:rsidR="00011E69" w:rsidRDefault="00011E69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024" w:type="dxa"/>
          </w:tcPr>
          <w:p w:rsidR="00011E69" w:rsidRDefault="00011E69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024" w:type="dxa"/>
          </w:tcPr>
          <w:p w:rsidR="00011E69" w:rsidRDefault="00011E69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024" w:type="dxa"/>
          </w:tcPr>
          <w:p w:rsidR="00011E69" w:rsidRDefault="00011E69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024" w:type="dxa"/>
          </w:tcPr>
          <w:p w:rsidR="00011E69" w:rsidRDefault="00011E69">
            <w:pPr>
              <w:pStyle w:val="ConsPlusNormal"/>
              <w:jc w:val="center"/>
            </w:pPr>
            <w:r>
              <w:t>2028</w:t>
            </w:r>
          </w:p>
        </w:tc>
        <w:tc>
          <w:tcPr>
            <w:tcW w:w="1024" w:type="dxa"/>
          </w:tcPr>
          <w:p w:rsidR="00011E69" w:rsidRDefault="00011E69">
            <w:pPr>
              <w:pStyle w:val="ConsPlusNormal"/>
              <w:jc w:val="center"/>
            </w:pPr>
            <w:r>
              <w:t>2029</w:t>
            </w:r>
          </w:p>
        </w:tc>
      </w:tr>
      <w:tr w:rsidR="00011E69">
        <w:tc>
          <w:tcPr>
            <w:tcW w:w="2268" w:type="dxa"/>
            <w:vMerge/>
          </w:tcPr>
          <w:p w:rsidR="00011E69" w:rsidRDefault="00011E69">
            <w:pPr>
              <w:pStyle w:val="ConsPlusNormal"/>
            </w:pPr>
          </w:p>
        </w:tc>
        <w:tc>
          <w:tcPr>
            <w:tcW w:w="1644" w:type="dxa"/>
          </w:tcPr>
          <w:p w:rsidR="00011E69" w:rsidRDefault="00011E69">
            <w:pPr>
              <w:pStyle w:val="ConsPlusNormal"/>
            </w:pPr>
            <w:r>
              <w:t>ВСЕГО</w:t>
            </w:r>
          </w:p>
        </w:tc>
        <w:tc>
          <w:tcPr>
            <w:tcW w:w="1144" w:type="dxa"/>
          </w:tcPr>
          <w:p w:rsidR="00011E69" w:rsidRDefault="00011E69">
            <w:pPr>
              <w:pStyle w:val="ConsPlusNormal"/>
              <w:jc w:val="right"/>
            </w:pPr>
            <w:r>
              <w:t>4595994,8</w:t>
            </w:r>
          </w:p>
        </w:tc>
        <w:tc>
          <w:tcPr>
            <w:tcW w:w="1144" w:type="dxa"/>
          </w:tcPr>
          <w:p w:rsidR="00011E69" w:rsidRDefault="00011E69">
            <w:pPr>
              <w:pStyle w:val="ConsPlusNormal"/>
              <w:jc w:val="right"/>
            </w:pPr>
            <w:r>
              <w:t>2109698,3</w:t>
            </w:r>
          </w:p>
        </w:tc>
        <w:tc>
          <w:tcPr>
            <w:tcW w:w="1024" w:type="dxa"/>
          </w:tcPr>
          <w:p w:rsidR="00011E69" w:rsidRDefault="00011E69">
            <w:pPr>
              <w:pStyle w:val="ConsPlusNormal"/>
              <w:jc w:val="right"/>
            </w:pPr>
            <w:r>
              <w:t>497259,3</w:t>
            </w:r>
          </w:p>
        </w:tc>
        <w:tc>
          <w:tcPr>
            <w:tcW w:w="1024" w:type="dxa"/>
          </w:tcPr>
          <w:p w:rsidR="00011E69" w:rsidRDefault="00011E69">
            <w:pPr>
              <w:pStyle w:val="ConsPlusNormal"/>
              <w:jc w:val="right"/>
            </w:pPr>
            <w:r>
              <w:t>497259,3</w:t>
            </w:r>
          </w:p>
        </w:tc>
        <w:tc>
          <w:tcPr>
            <w:tcW w:w="1024" w:type="dxa"/>
          </w:tcPr>
          <w:p w:rsidR="00011E69" w:rsidRDefault="00011E69">
            <w:pPr>
              <w:pStyle w:val="ConsPlusNormal"/>
              <w:jc w:val="right"/>
            </w:pPr>
            <w:r>
              <w:t>497259,3</w:t>
            </w:r>
          </w:p>
        </w:tc>
        <w:tc>
          <w:tcPr>
            <w:tcW w:w="1024" w:type="dxa"/>
          </w:tcPr>
          <w:p w:rsidR="00011E69" w:rsidRDefault="00011E69">
            <w:pPr>
              <w:pStyle w:val="ConsPlusNormal"/>
              <w:jc w:val="right"/>
            </w:pPr>
            <w:r>
              <w:t>497259,3</w:t>
            </w:r>
          </w:p>
        </w:tc>
        <w:tc>
          <w:tcPr>
            <w:tcW w:w="1024" w:type="dxa"/>
          </w:tcPr>
          <w:p w:rsidR="00011E69" w:rsidRDefault="00011E69">
            <w:pPr>
              <w:pStyle w:val="ConsPlusNormal"/>
              <w:jc w:val="right"/>
            </w:pPr>
            <w:r>
              <w:t>497259,3</w:t>
            </w:r>
          </w:p>
        </w:tc>
      </w:tr>
      <w:tr w:rsidR="00011E69">
        <w:tc>
          <w:tcPr>
            <w:tcW w:w="2268" w:type="dxa"/>
            <w:vMerge/>
          </w:tcPr>
          <w:p w:rsidR="00011E69" w:rsidRDefault="00011E69">
            <w:pPr>
              <w:pStyle w:val="ConsPlusNormal"/>
            </w:pPr>
          </w:p>
        </w:tc>
        <w:tc>
          <w:tcPr>
            <w:tcW w:w="9052" w:type="dxa"/>
            <w:gridSpan w:val="8"/>
          </w:tcPr>
          <w:p w:rsidR="00011E69" w:rsidRDefault="00011E69">
            <w:pPr>
              <w:pStyle w:val="ConsPlusNormal"/>
            </w:pPr>
            <w:r>
              <w:t>В том числе по источникам финансирования:</w:t>
            </w:r>
          </w:p>
        </w:tc>
      </w:tr>
      <w:tr w:rsidR="00011E69">
        <w:tc>
          <w:tcPr>
            <w:tcW w:w="2268" w:type="dxa"/>
            <w:vMerge/>
          </w:tcPr>
          <w:p w:rsidR="00011E69" w:rsidRDefault="00011E69">
            <w:pPr>
              <w:pStyle w:val="ConsPlusNormal"/>
            </w:pPr>
          </w:p>
        </w:tc>
        <w:tc>
          <w:tcPr>
            <w:tcW w:w="1644" w:type="dxa"/>
          </w:tcPr>
          <w:p w:rsidR="00011E69" w:rsidRDefault="00011E69">
            <w:pPr>
              <w:pStyle w:val="ConsPlusNormal"/>
            </w:pPr>
            <w:r>
              <w:t xml:space="preserve">средства областного </w:t>
            </w:r>
            <w:r>
              <w:lastRenderedPageBreak/>
              <w:t>бюджета</w:t>
            </w:r>
          </w:p>
        </w:tc>
        <w:tc>
          <w:tcPr>
            <w:tcW w:w="1144" w:type="dxa"/>
          </w:tcPr>
          <w:p w:rsidR="00011E69" w:rsidRDefault="00011E69">
            <w:pPr>
              <w:pStyle w:val="ConsPlusNormal"/>
              <w:jc w:val="right"/>
            </w:pPr>
            <w:r>
              <w:lastRenderedPageBreak/>
              <w:t>4560529,1</w:t>
            </w:r>
          </w:p>
        </w:tc>
        <w:tc>
          <w:tcPr>
            <w:tcW w:w="1144" w:type="dxa"/>
          </w:tcPr>
          <w:p w:rsidR="00011E69" w:rsidRDefault="00011E69">
            <w:pPr>
              <w:pStyle w:val="ConsPlusNormal"/>
              <w:jc w:val="right"/>
            </w:pPr>
            <w:r>
              <w:t>2074232,6</w:t>
            </w:r>
          </w:p>
        </w:tc>
        <w:tc>
          <w:tcPr>
            <w:tcW w:w="1024" w:type="dxa"/>
          </w:tcPr>
          <w:p w:rsidR="00011E69" w:rsidRDefault="00011E69">
            <w:pPr>
              <w:pStyle w:val="ConsPlusNormal"/>
              <w:jc w:val="right"/>
            </w:pPr>
            <w:r>
              <w:t>497259,3</w:t>
            </w:r>
          </w:p>
        </w:tc>
        <w:tc>
          <w:tcPr>
            <w:tcW w:w="1024" w:type="dxa"/>
          </w:tcPr>
          <w:p w:rsidR="00011E69" w:rsidRDefault="00011E69">
            <w:pPr>
              <w:pStyle w:val="ConsPlusNormal"/>
              <w:jc w:val="right"/>
            </w:pPr>
            <w:r>
              <w:t>497259,3</w:t>
            </w:r>
          </w:p>
        </w:tc>
        <w:tc>
          <w:tcPr>
            <w:tcW w:w="1024" w:type="dxa"/>
          </w:tcPr>
          <w:p w:rsidR="00011E69" w:rsidRDefault="00011E69">
            <w:pPr>
              <w:pStyle w:val="ConsPlusNormal"/>
              <w:jc w:val="right"/>
            </w:pPr>
            <w:r>
              <w:t>497259,3</w:t>
            </w:r>
          </w:p>
        </w:tc>
        <w:tc>
          <w:tcPr>
            <w:tcW w:w="1024" w:type="dxa"/>
          </w:tcPr>
          <w:p w:rsidR="00011E69" w:rsidRDefault="00011E69">
            <w:pPr>
              <w:pStyle w:val="ConsPlusNormal"/>
              <w:jc w:val="right"/>
            </w:pPr>
            <w:r>
              <w:t>497259,3</w:t>
            </w:r>
          </w:p>
        </w:tc>
        <w:tc>
          <w:tcPr>
            <w:tcW w:w="1024" w:type="dxa"/>
          </w:tcPr>
          <w:p w:rsidR="00011E69" w:rsidRDefault="00011E69">
            <w:pPr>
              <w:pStyle w:val="ConsPlusNormal"/>
              <w:jc w:val="right"/>
            </w:pPr>
            <w:r>
              <w:t>497259,3</w:t>
            </w:r>
          </w:p>
        </w:tc>
      </w:tr>
      <w:tr w:rsidR="00011E69">
        <w:tc>
          <w:tcPr>
            <w:tcW w:w="2268" w:type="dxa"/>
            <w:vMerge/>
          </w:tcPr>
          <w:p w:rsidR="00011E69" w:rsidRDefault="00011E69">
            <w:pPr>
              <w:pStyle w:val="ConsPlusNormal"/>
            </w:pPr>
          </w:p>
        </w:tc>
        <w:tc>
          <w:tcPr>
            <w:tcW w:w="1644" w:type="dxa"/>
          </w:tcPr>
          <w:p w:rsidR="00011E69" w:rsidRDefault="00011E69">
            <w:pPr>
              <w:pStyle w:val="ConsPlusNormal"/>
            </w:pPr>
            <w:r>
              <w:t>из них:</w:t>
            </w:r>
          </w:p>
        </w:tc>
        <w:tc>
          <w:tcPr>
            <w:tcW w:w="1144" w:type="dxa"/>
          </w:tcPr>
          <w:p w:rsidR="00011E69" w:rsidRDefault="00011E69">
            <w:pPr>
              <w:pStyle w:val="ConsPlusNormal"/>
            </w:pPr>
          </w:p>
        </w:tc>
        <w:tc>
          <w:tcPr>
            <w:tcW w:w="1144" w:type="dxa"/>
          </w:tcPr>
          <w:p w:rsidR="00011E69" w:rsidRDefault="00011E69">
            <w:pPr>
              <w:pStyle w:val="ConsPlusNormal"/>
            </w:pPr>
          </w:p>
        </w:tc>
        <w:tc>
          <w:tcPr>
            <w:tcW w:w="1024" w:type="dxa"/>
          </w:tcPr>
          <w:p w:rsidR="00011E69" w:rsidRDefault="00011E69">
            <w:pPr>
              <w:pStyle w:val="ConsPlusNormal"/>
            </w:pPr>
          </w:p>
        </w:tc>
        <w:tc>
          <w:tcPr>
            <w:tcW w:w="1024" w:type="dxa"/>
          </w:tcPr>
          <w:p w:rsidR="00011E69" w:rsidRDefault="00011E69">
            <w:pPr>
              <w:pStyle w:val="ConsPlusNormal"/>
            </w:pPr>
          </w:p>
        </w:tc>
        <w:tc>
          <w:tcPr>
            <w:tcW w:w="1024" w:type="dxa"/>
          </w:tcPr>
          <w:p w:rsidR="00011E69" w:rsidRDefault="00011E69">
            <w:pPr>
              <w:pStyle w:val="ConsPlusNormal"/>
            </w:pPr>
          </w:p>
        </w:tc>
        <w:tc>
          <w:tcPr>
            <w:tcW w:w="1024" w:type="dxa"/>
          </w:tcPr>
          <w:p w:rsidR="00011E69" w:rsidRDefault="00011E69">
            <w:pPr>
              <w:pStyle w:val="ConsPlusNormal"/>
            </w:pPr>
          </w:p>
        </w:tc>
        <w:tc>
          <w:tcPr>
            <w:tcW w:w="1024" w:type="dxa"/>
          </w:tcPr>
          <w:p w:rsidR="00011E69" w:rsidRDefault="00011E69">
            <w:pPr>
              <w:pStyle w:val="ConsPlusNormal"/>
            </w:pPr>
          </w:p>
        </w:tc>
      </w:tr>
      <w:tr w:rsidR="00011E69">
        <w:tc>
          <w:tcPr>
            <w:tcW w:w="2268" w:type="dxa"/>
            <w:vMerge/>
          </w:tcPr>
          <w:p w:rsidR="00011E69" w:rsidRDefault="00011E69">
            <w:pPr>
              <w:pStyle w:val="ConsPlusNormal"/>
            </w:pPr>
          </w:p>
        </w:tc>
        <w:tc>
          <w:tcPr>
            <w:tcW w:w="1644" w:type="dxa"/>
          </w:tcPr>
          <w:p w:rsidR="00011E69" w:rsidRDefault="00011E69">
            <w:pPr>
              <w:pStyle w:val="ConsPlusNormal"/>
            </w:pPr>
            <w:r>
              <w:t>расходы на обеспечение реализации государственной программы</w:t>
            </w:r>
          </w:p>
        </w:tc>
        <w:tc>
          <w:tcPr>
            <w:tcW w:w="1144" w:type="dxa"/>
          </w:tcPr>
          <w:p w:rsidR="00011E69" w:rsidRDefault="00011E69">
            <w:pPr>
              <w:pStyle w:val="ConsPlusNormal"/>
              <w:jc w:val="right"/>
            </w:pPr>
            <w:r>
              <w:t>878925,6</w:t>
            </w:r>
          </w:p>
        </w:tc>
        <w:tc>
          <w:tcPr>
            <w:tcW w:w="1144" w:type="dxa"/>
          </w:tcPr>
          <w:p w:rsidR="00011E69" w:rsidRDefault="00011E69">
            <w:pPr>
              <w:pStyle w:val="ConsPlusNormal"/>
              <w:jc w:val="right"/>
            </w:pPr>
            <w:r>
              <w:t>154773,1</w:t>
            </w:r>
          </w:p>
        </w:tc>
        <w:tc>
          <w:tcPr>
            <w:tcW w:w="1024" w:type="dxa"/>
          </w:tcPr>
          <w:p w:rsidR="00011E69" w:rsidRDefault="00011E69">
            <w:pPr>
              <w:pStyle w:val="ConsPlusNormal"/>
              <w:jc w:val="right"/>
            </w:pPr>
            <w:r>
              <w:t>144830,5</w:t>
            </w:r>
          </w:p>
        </w:tc>
        <w:tc>
          <w:tcPr>
            <w:tcW w:w="1024" w:type="dxa"/>
          </w:tcPr>
          <w:p w:rsidR="00011E69" w:rsidRDefault="00011E69">
            <w:pPr>
              <w:pStyle w:val="ConsPlusNormal"/>
              <w:jc w:val="right"/>
            </w:pPr>
            <w:r>
              <w:t>144830,5</w:t>
            </w:r>
          </w:p>
        </w:tc>
        <w:tc>
          <w:tcPr>
            <w:tcW w:w="1024" w:type="dxa"/>
          </w:tcPr>
          <w:p w:rsidR="00011E69" w:rsidRDefault="00011E69">
            <w:pPr>
              <w:pStyle w:val="ConsPlusNormal"/>
              <w:jc w:val="right"/>
            </w:pPr>
            <w:r>
              <w:t>144830,5</w:t>
            </w:r>
          </w:p>
        </w:tc>
        <w:tc>
          <w:tcPr>
            <w:tcW w:w="1024" w:type="dxa"/>
          </w:tcPr>
          <w:p w:rsidR="00011E69" w:rsidRDefault="00011E69">
            <w:pPr>
              <w:pStyle w:val="ConsPlusNormal"/>
              <w:jc w:val="right"/>
            </w:pPr>
            <w:r>
              <w:t>144830,5</w:t>
            </w:r>
          </w:p>
        </w:tc>
        <w:tc>
          <w:tcPr>
            <w:tcW w:w="1024" w:type="dxa"/>
          </w:tcPr>
          <w:p w:rsidR="00011E69" w:rsidRDefault="00011E69">
            <w:pPr>
              <w:pStyle w:val="ConsPlusNormal"/>
              <w:jc w:val="right"/>
            </w:pPr>
            <w:r>
              <w:t>144830,5</w:t>
            </w:r>
          </w:p>
        </w:tc>
      </w:tr>
      <w:tr w:rsidR="00011E69">
        <w:tc>
          <w:tcPr>
            <w:tcW w:w="2268" w:type="dxa"/>
            <w:vMerge/>
          </w:tcPr>
          <w:p w:rsidR="00011E69" w:rsidRDefault="00011E69">
            <w:pPr>
              <w:pStyle w:val="ConsPlusNormal"/>
            </w:pPr>
          </w:p>
        </w:tc>
        <w:tc>
          <w:tcPr>
            <w:tcW w:w="1644" w:type="dxa"/>
          </w:tcPr>
          <w:p w:rsidR="00011E69" w:rsidRDefault="00011E69">
            <w:pPr>
              <w:pStyle w:val="ConsPlusNormal"/>
            </w:pPr>
            <w:r>
              <w:t>в том числе:</w:t>
            </w:r>
          </w:p>
        </w:tc>
        <w:tc>
          <w:tcPr>
            <w:tcW w:w="1144" w:type="dxa"/>
          </w:tcPr>
          <w:p w:rsidR="00011E69" w:rsidRDefault="00011E69">
            <w:pPr>
              <w:pStyle w:val="ConsPlusNormal"/>
            </w:pPr>
          </w:p>
        </w:tc>
        <w:tc>
          <w:tcPr>
            <w:tcW w:w="1144" w:type="dxa"/>
          </w:tcPr>
          <w:p w:rsidR="00011E69" w:rsidRDefault="00011E69">
            <w:pPr>
              <w:pStyle w:val="ConsPlusNormal"/>
            </w:pPr>
          </w:p>
        </w:tc>
        <w:tc>
          <w:tcPr>
            <w:tcW w:w="1024" w:type="dxa"/>
          </w:tcPr>
          <w:p w:rsidR="00011E69" w:rsidRDefault="00011E69">
            <w:pPr>
              <w:pStyle w:val="ConsPlusNormal"/>
            </w:pPr>
          </w:p>
        </w:tc>
        <w:tc>
          <w:tcPr>
            <w:tcW w:w="1024" w:type="dxa"/>
          </w:tcPr>
          <w:p w:rsidR="00011E69" w:rsidRDefault="00011E69">
            <w:pPr>
              <w:pStyle w:val="ConsPlusNormal"/>
            </w:pPr>
          </w:p>
        </w:tc>
        <w:tc>
          <w:tcPr>
            <w:tcW w:w="1024" w:type="dxa"/>
          </w:tcPr>
          <w:p w:rsidR="00011E69" w:rsidRDefault="00011E69">
            <w:pPr>
              <w:pStyle w:val="ConsPlusNormal"/>
            </w:pPr>
          </w:p>
        </w:tc>
        <w:tc>
          <w:tcPr>
            <w:tcW w:w="1024" w:type="dxa"/>
          </w:tcPr>
          <w:p w:rsidR="00011E69" w:rsidRDefault="00011E69">
            <w:pPr>
              <w:pStyle w:val="ConsPlusNormal"/>
            </w:pPr>
          </w:p>
        </w:tc>
        <w:tc>
          <w:tcPr>
            <w:tcW w:w="1024" w:type="dxa"/>
          </w:tcPr>
          <w:p w:rsidR="00011E69" w:rsidRDefault="00011E69">
            <w:pPr>
              <w:pStyle w:val="ConsPlusNormal"/>
            </w:pPr>
          </w:p>
        </w:tc>
      </w:tr>
      <w:tr w:rsidR="00011E69">
        <w:tc>
          <w:tcPr>
            <w:tcW w:w="2268" w:type="dxa"/>
            <w:vMerge/>
          </w:tcPr>
          <w:p w:rsidR="00011E69" w:rsidRDefault="00011E69">
            <w:pPr>
              <w:pStyle w:val="ConsPlusNormal"/>
            </w:pPr>
          </w:p>
        </w:tc>
        <w:tc>
          <w:tcPr>
            <w:tcW w:w="1644" w:type="dxa"/>
          </w:tcPr>
          <w:p w:rsidR="00011E69" w:rsidRDefault="00011E69">
            <w:pPr>
              <w:pStyle w:val="ConsPlusNormal"/>
            </w:pPr>
            <w:r>
              <w:t>расходы на содержание центрального аппарата министерства экономического развития и промышленности Калужской области</w:t>
            </w:r>
          </w:p>
        </w:tc>
        <w:tc>
          <w:tcPr>
            <w:tcW w:w="1144" w:type="dxa"/>
          </w:tcPr>
          <w:p w:rsidR="00011E69" w:rsidRDefault="00011E69">
            <w:pPr>
              <w:pStyle w:val="ConsPlusNormal"/>
              <w:jc w:val="right"/>
            </w:pPr>
            <w:r>
              <w:t>751165,2</w:t>
            </w:r>
          </w:p>
        </w:tc>
        <w:tc>
          <w:tcPr>
            <w:tcW w:w="1144" w:type="dxa"/>
          </w:tcPr>
          <w:p w:rsidR="00011E69" w:rsidRDefault="00011E69">
            <w:pPr>
              <w:pStyle w:val="ConsPlusNormal"/>
              <w:jc w:val="right"/>
            </w:pPr>
            <w:r>
              <w:t>133479,7</w:t>
            </w:r>
          </w:p>
        </w:tc>
        <w:tc>
          <w:tcPr>
            <w:tcW w:w="1024" w:type="dxa"/>
          </w:tcPr>
          <w:p w:rsidR="00011E69" w:rsidRDefault="00011E69">
            <w:pPr>
              <w:pStyle w:val="ConsPlusNormal"/>
              <w:jc w:val="right"/>
            </w:pPr>
            <w:r>
              <w:t>123537,1</w:t>
            </w:r>
          </w:p>
        </w:tc>
        <w:tc>
          <w:tcPr>
            <w:tcW w:w="1024" w:type="dxa"/>
          </w:tcPr>
          <w:p w:rsidR="00011E69" w:rsidRDefault="00011E69">
            <w:pPr>
              <w:pStyle w:val="ConsPlusNormal"/>
              <w:jc w:val="right"/>
            </w:pPr>
            <w:r>
              <w:t>123537,1</w:t>
            </w:r>
          </w:p>
        </w:tc>
        <w:tc>
          <w:tcPr>
            <w:tcW w:w="1024" w:type="dxa"/>
          </w:tcPr>
          <w:p w:rsidR="00011E69" w:rsidRDefault="00011E69">
            <w:pPr>
              <w:pStyle w:val="ConsPlusNormal"/>
              <w:jc w:val="right"/>
            </w:pPr>
            <w:r>
              <w:t>123537,1</w:t>
            </w:r>
          </w:p>
        </w:tc>
        <w:tc>
          <w:tcPr>
            <w:tcW w:w="1024" w:type="dxa"/>
          </w:tcPr>
          <w:p w:rsidR="00011E69" w:rsidRDefault="00011E69">
            <w:pPr>
              <w:pStyle w:val="ConsPlusNormal"/>
              <w:jc w:val="right"/>
            </w:pPr>
            <w:r>
              <w:t>123537,1</w:t>
            </w:r>
          </w:p>
        </w:tc>
        <w:tc>
          <w:tcPr>
            <w:tcW w:w="1024" w:type="dxa"/>
          </w:tcPr>
          <w:p w:rsidR="00011E69" w:rsidRDefault="00011E69">
            <w:pPr>
              <w:pStyle w:val="ConsPlusNormal"/>
              <w:jc w:val="right"/>
            </w:pPr>
            <w:r>
              <w:t>123537,1</w:t>
            </w:r>
          </w:p>
        </w:tc>
      </w:tr>
      <w:tr w:rsidR="00011E69">
        <w:tc>
          <w:tcPr>
            <w:tcW w:w="2268" w:type="dxa"/>
            <w:vMerge/>
          </w:tcPr>
          <w:p w:rsidR="00011E69" w:rsidRDefault="00011E69">
            <w:pPr>
              <w:pStyle w:val="ConsPlusNormal"/>
            </w:pPr>
          </w:p>
        </w:tc>
        <w:tc>
          <w:tcPr>
            <w:tcW w:w="1644" w:type="dxa"/>
          </w:tcPr>
          <w:p w:rsidR="00011E69" w:rsidRDefault="00011E69">
            <w:pPr>
              <w:pStyle w:val="ConsPlusNormal"/>
            </w:pPr>
            <w:r>
              <w:t xml:space="preserve">расходы на обеспечение деятельности государственного казенного учреждения Калужской области "Централизованная бухгалтерия в сфере </w:t>
            </w:r>
            <w:r>
              <w:lastRenderedPageBreak/>
              <w:t>экономического развития"</w:t>
            </w:r>
          </w:p>
        </w:tc>
        <w:tc>
          <w:tcPr>
            <w:tcW w:w="1144" w:type="dxa"/>
          </w:tcPr>
          <w:p w:rsidR="00011E69" w:rsidRDefault="00011E69">
            <w:pPr>
              <w:pStyle w:val="ConsPlusNormal"/>
              <w:jc w:val="right"/>
            </w:pPr>
            <w:r>
              <w:lastRenderedPageBreak/>
              <w:t>127760,4</w:t>
            </w:r>
          </w:p>
        </w:tc>
        <w:tc>
          <w:tcPr>
            <w:tcW w:w="1144" w:type="dxa"/>
          </w:tcPr>
          <w:p w:rsidR="00011E69" w:rsidRDefault="00011E69">
            <w:pPr>
              <w:pStyle w:val="ConsPlusNormal"/>
              <w:jc w:val="right"/>
            </w:pPr>
            <w:r>
              <w:t>21293,4</w:t>
            </w:r>
          </w:p>
        </w:tc>
        <w:tc>
          <w:tcPr>
            <w:tcW w:w="1024" w:type="dxa"/>
          </w:tcPr>
          <w:p w:rsidR="00011E69" w:rsidRDefault="00011E69">
            <w:pPr>
              <w:pStyle w:val="ConsPlusNormal"/>
              <w:jc w:val="right"/>
            </w:pPr>
            <w:r>
              <w:t>21293,4</w:t>
            </w:r>
          </w:p>
        </w:tc>
        <w:tc>
          <w:tcPr>
            <w:tcW w:w="1024" w:type="dxa"/>
          </w:tcPr>
          <w:p w:rsidR="00011E69" w:rsidRDefault="00011E69">
            <w:pPr>
              <w:pStyle w:val="ConsPlusNormal"/>
              <w:jc w:val="right"/>
            </w:pPr>
            <w:r>
              <w:t>21293,4</w:t>
            </w:r>
          </w:p>
        </w:tc>
        <w:tc>
          <w:tcPr>
            <w:tcW w:w="1024" w:type="dxa"/>
          </w:tcPr>
          <w:p w:rsidR="00011E69" w:rsidRDefault="00011E69">
            <w:pPr>
              <w:pStyle w:val="ConsPlusNormal"/>
              <w:jc w:val="right"/>
            </w:pPr>
            <w:r>
              <w:t>21293,4</w:t>
            </w:r>
          </w:p>
        </w:tc>
        <w:tc>
          <w:tcPr>
            <w:tcW w:w="1024" w:type="dxa"/>
          </w:tcPr>
          <w:p w:rsidR="00011E69" w:rsidRDefault="00011E69">
            <w:pPr>
              <w:pStyle w:val="ConsPlusNormal"/>
              <w:jc w:val="right"/>
            </w:pPr>
            <w:r>
              <w:t>21293,4</w:t>
            </w:r>
          </w:p>
        </w:tc>
        <w:tc>
          <w:tcPr>
            <w:tcW w:w="1024" w:type="dxa"/>
          </w:tcPr>
          <w:p w:rsidR="00011E69" w:rsidRDefault="00011E69">
            <w:pPr>
              <w:pStyle w:val="ConsPlusNormal"/>
              <w:jc w:val="right"/>
            </w:pPr>
            <w:r>
              <w:t>21293,4</w:t>
            </w:r>
          </w:p>
        </w:tc>
      </w:tr>
      <w:tr w:rsidR="00011E69">
        <w:tc>
          <w:tcPr>
            <w:tcW w:w="2268" w:type="dxa"/>
            <w:vMerge/>
          </w:tcPr>
          <w:p w:rsidR="00011E69" w:rsidRDefault="00011E69">
            <w:pPr>
              <w:pStyle w:val="ConsPlusNormal"/>
            </w:pPr>
          </w:p>
        </w:tc>
        <w:tc>
          <w:tcPr>
            <w:tcW w:w="1644" w:type="dxa"/>
          </w:tcPr>
          <w:p w:rsidR="00011E69" w:rsidRDefault="00011E69">
            <w:pPr>
              <w:pStyle w:val="ConsPlusNormal"/>
            </w:pPr>
            <w:r>
              <w:t>средства федерального бюджета</w:t>
            </w:r>
          </w:p>
        </w:tc>
        <w:tc>
          <w:tcPr>
            <w:tcW w:w="1144" w:type="dxa"/>
          </w:tcPr>
          <w:p w:rsidR="00011E69" w:rsidRDefault="00011E69">
            <w:pPr>
              <w:pStyle w:val="ConsPlusNormal"/>
              <w:jc w:val="right"/>
            </w:pPr>
            <w:r>
              <w:t>35465,7</w:t>
            </w:r>
          </w:p>
        </w:tc>
        <w:tc>
          <w:tcPr>
            <w:tcW w:w="1144" w:type="dxa"/>
          </w:tcPr>
          <w:p w:rsidR="00011E69" w:rsidRDefault="00011E69">
            <w:pPr>
              <w:pStyle w:val="ConsPlusNormal"/>
              <w:jc w:val="right"/>
            </w:pPr>
            <w:r>
              <w:t>35465,7</w:t>
            </w:r>
          </w:p>
        </w:tc>
        <w:tc>
          <w:tcPr>
            <w:tcW w:w="1024" w:type="dxa"/>
          </w:tcPr>
          <w:p w:rsidR="00011E69" w:rsidRDefault="00011E69">
            <w:pPr>
              <w:pStyle w:val="ConsPlusNormal"/>
              <w:jc w:val="right"/>
            </w:pPr>
            <w:r>
              <w:t>0,0</w:t>
            </w:r>
          </w:p>
        </w:tc>
        <w:tc>
          <w:tcPr>
            <w:tcW w:w="1024" w:type="dxa"/>
          </w:tcPr>
          <w:p w:rsidR="00011E69" w:rsidRDefault="00011E69">
            <w:pPr>
              <w:pStyle w:val="ConsPlusNormal"/>
              <w:jc w:val="right"/>
            </w:pPr>
            <w:r>
              <w:t>0,0</w:t>
            </w:r>
          </w:p>
        </w:tc>
        <w:tc>
          <w:tcPr>
            <w:tcW w:w="1024" w:type="dxa"/>
          </w:tcPr>
          <w:p w:rsidR="00011E69" w:rsidRDefault="00011E69">
            <w:pPr>
              <w:pStyle w:val="ConsPlusNormal"/>
              <w:jc w:val="right"/>
            </w:pPr>
            <w:r>
              <w:t>0,0</w:t>
            </w:r>
          </w:p>
        </w:tc>
        <w:tc>
          <w:tcPr>
            <w:tcW w:w="1024" w:type="dxa"/>
          </w:tcPr>
          <w:p w:rsidR="00011E69" w:rsidRDefault="00011E69">
            <w:pPr>
              <w:pStyle w:val="ConsPlusNormal"/>
              <w:jc w:val="right"/>
            </w:pPr>
            <w:r>
              <w:t>0,0</w:t>
            </w:r>
          </w:p>
        </w:tc>
        <w:tc>
          <w:tcPr>
            <w:tcW w:w="1024" w:type="dxa"/>
          </w:tcPr>
          <w:p w:rsidR="00011E69" w:rsidRDefault="00011E69">
            <w:pPr>
              <w:pStyle w:val="ConsPlusNormal"/>
              <w:jc w:val="right"/>
            </w:pPr>
            <w:r>
              <w:t>0,0</w:t>
            </w:r>
          </w:p>
        </w:tc>
      </w:tr>
    </w:tbl>
    <w:p w:rsidR="00011E69" w:rsidRDefault="00011E69">
      <w:pPr>
        <w:pStyle w:val="ConsPlusNormal"/>
        <w:sectPr w:rsidR="00011E69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p w:rsidR="00011E69" w:rsidRDefault="00011E69">
      <w:pPr>
        <w:pStyle w:val="ConsPlusNormal"/>
        <w:jc w:val="both"/>
      </w:pPr>
    </w:p>
    <w:p w:rsidR="00011E69" w:rsidRDefault="00011E69">
      <w:pPr>
        <w:pStyle w:val="ConsPlusTitle"/>
        <w:jc w:val="center"/>
        <w:outlineLvl w:val="1"/>
      </w:pPr>
      <w:r>
        <w:t>1. Индикатор достижения цели государственной программы</w:t>
      </w:r>
    </w:p>
    <w:p w:rsidR="00011E69" w:rsidRDefault="00011E69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60"/>
        <w:gridCol w:w="3402"/>
        <w:gridCol w:w="568"/>
        <w:gridCol w:w="604"/>
        <w:gridCol w:w="664"/>
        <w:gridCol w:w="664"/>
        <w:gridCol w:w="664"/>
        <w:gridCol w:w="664"/>
        <w:gridCol w:w="664"/>
        <w:gridCol w:w="664"/>
      </w:tblGrid>
      <w:tr w:rsidR="00011E69">
        <w:tc>
          <w:tcPr>
            <w:tcW w:w="460" w:type="dxa"/>
            <w:vMerge w:val="restart"/>
          </w:tcPr>
          <w:p w:rsidR="00011E69" w:rsidRDefault="00011E69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3402" w:type="dxa"/>
            <w:vMerge w:val="restart"/>
          </w:tcPr>
          <w:p w:rsidR="00011E69" w:rsidRDefault="00011E69">
            <w:pPr>
              <w:pStyle w:val="ConsPlusNormal"/>
              <w:jc w:val="center"/>
            </w:pPr>
            <w:r>
              <w:t>Наименование индикатора</w:t>
            </w:r>
          </w:p>
        </w:tc>
        <w:tc>
          <w:tcPr>
            <w:tcW w:w="568" w:type="dxa"/>
            <w:vMerge w:val="restart"/>
          </w:tcPr>
          <w:p w:rsidR="00011E69" w:rsidRDefault="00011E69">
            <w:pPr>
              <w:pStyle w:val="ConsPlusNormal"/>
              <w:jc w:val="center"/>
            </w:pPr>
            <w:r>
              <w:t>Ед. изм.</w:t>
            </w:r>
          </w:p>
        </w:tc>
        <w:tc>
          <w:tcPr>
            <w:tcW w:w="4588" w:type="dxa"/>
            <w:gridSpan w:val="7"/>
          </w:tcPr>
          <w:p w:rsidR="00011E69" w:rsidRDefault="00011E69">
            <w:pPr>
              <w:pStyle w:val="ConsPlusNormal"/>
              <w:jc w:val="center"/>
            </w:pPr>
            <w:r>
              <w:t>Значение по годам</w:t>
            </w:r>
          </w:p>
        </w:tc>
      </w:tr>
      <w:tr w:rsidR="00011E69">
        <w:tc>
          <w:tcPr>
            <w:tcW w:w="460" w:type="dxa"/>
            <w:vMerge/>
          </w:tcPr>
          <w:p w:rsidR="00011E69" w:rsidRDefault="00011E69">
            <w:pPr>
              <w:pStyle w:val="ConsPlusNormal"/>
            </w:pPr>
          </w:p>
        </w:tc>
        <w:tc>
          <w:tcPr>
            <w:tcW w:w="3402" w:type="dxa"/>
            <w:vMerge/>
          </w:tcPr>
          <w:p w:rsidR="00011E69" w:rsidRDefault="00011E69">
            <w:pPr>
              <w:pStyle w:val="ConsPlusNormal"/>
            </w:pPr>
          </w:p>
        </w:tc>
        <w:tc>
          <w:tcPr>
            <w:tcW w:w="568" w:type="dxa"/>
            <w:vMerge/>
          </w:tcPr>
          <w:p w:rsidR="00011E69" w:rsidRDefault="00011E69">
            <w:pPr>
              <w:pStyle w:val="ConsPlusNormal"/>
            </w:pPr>
          </w:p>
        </w:tc>
        <w:tc>
          <w:tcPr>
            <w:tcW w:w="604" w:type="dxa"/>
            <w:vMerge w:val="restart"/>
          </w:tcPr>
          <w:p w:rsidR="00011E69" w:rsidRDefault="00011E69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3984" w:type="dxa"/>
            <w:gridSpan w:val="6"/>
          </w:tcPr>
          <w:p w:rsidR="00011E69" w:rsidRDefault="00011E69">
            <w:pPr>
              <w:pStyle w:val="ConsPlusNormal"/>
              <w:jc w:val="center"/>
            </w:pPr>
            <w:r>
              <w:t>Годы реализации государственной программы</w:t>
            </w:r>
          </w:p>
        </w:tc>
      </w:tr>
      <w:tr w:rsidR="00011E69">
        <w:tc>
          <w:tcPr>
            <w:tcW w:w="460" w:type="dxa"/>
            <w:vMerge/>
          </w:tcPr>
          <w:p w:rsidR="00011E69" w:rsidRDefault="00011E69">
            <w:pPr>
              <w:pStyle w:val="ConsPlusNormal"/>
            </w:pPr>
          </w:p>
        </w:tc>
        <w:tc>
          <w:tcPr>
            <w:tcW w:w="3402" w:type="dxa"/>
            <w:vMerge/>
          </w:tcPr>
          <w:p w:rsidR="00011E69" w:rsidRDefault="00011E69">
            <w:pPr>
              <w:pStyle w:val="ConsPlusNormal"/>
            </w:pPr>
          </w:p>
        </w:tc>
        <w:tc>
          <w:tcPr>
            <w:tcW w:w="568" w:type="dxa"/>
            <w:vMerge/>
          </w:tcPr>
          <w:p w:rsidR="00011E69" w:rsidRDefault="00011E69">
            <w:pPr>
              <w:pStyle w:val="ConsPlusNormal"/>
            </w:pPr>
          </w:p>
        </w:tc>
        <w:tc>
          <w:tcPr>
            <w:tcW w:w="604" w:type="dxa"/>
            <w:vMerge/>
          </w:tcPr>
          <w:p w:rsidR="00011E69" w:rsidRDefault="00011E69">
            <w:pPr>
              <w:pStyle w:val="ConsPlusNormal"/>
            </w:pPr>
          </w:p>
        </w:tc>
        <w:tc>
          <w:tcPr>
            <w:tcW w:w="664" w:type="dxa"/>
          </w:tcPr>
          <w:p w:rsidR="00011E69" w:rsidRDefault="00011E69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664" w:type="dxa"/>
          </w:tcPr>
          <w:p w:rsidR="00011E69" w:rsidRDefault="00011E69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664" w:type="dxa"/>
          </w:tcPr>
          <w:p w:rsidR="00011E69" w:rsidRDefault="00011E69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664" w:type="dxa"/>
          </w:tcPr>
          <w:p w:rsidR="00011E69" w:rsidRDefault="00011E69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664" w:type="dxa"/>
          </w:tcPr>
          <w:p w:rsidR="00011E69" w:rsidRDefault="00011E69">
            <w:pPr>
              <w:pStyle w:val="ConsPlusNormal"/>
              <w:jc w:val="center"/>
            </w:pPr>
            <w:r>
              <w:t>2028</w:t>
            </w:r>
          </w:p>
        </w:tc>
        <w:tc>
          <w:tcPr>
            <w:tcW w:w="664" w:type="dxa"/>
          </w:tcPr>
          <w:p w:rsidR="00011E69" w:rsidRDefault="00011E69">
            <w:pPr>
              <w:pStyle w:val="ConsPlusNormal"/>
              <w:jc w:val="center"/>
            </w:pPr>
            <w:r>
              <w:t>2029</w:t>
            </w:r>
          </w:p>
        </w:tc>
      </w:tr>
      <w:tr w:rsidR="00011E69">
        <w:tc>
          <w:tcPr>
            <w:tcW w:w="460" w:type="dxa"/>
          </w:tcPr>
          <w:p w:rsidR="00011E69" w:rsidRDefault="00011E6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402" w:type="dxa"/>
          </w:tcPr>
          <w:p w:rsidR="00011E69" w:rsidRDefault="00011E6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568" w:type="dxa"/>
          </w:tcPr>
          <w:p w:rsidR="00011E69" w:rsidRDefault="00011E6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604" w:type="dxa"/>
          </w:tcPr>
          <w:p w:rsidR="00011E69" w:rsidRDefault="00011E6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664" w:type="dxa"/>
          </w:tcPr>
          <w:p w:rsidR="00011E69" w:rsidRDefault="00011E6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664" w:type="dxa"/>
          </w:tcPr>
          <w:p w:rsidR="00011E69" w:rsidRDefault="00011E6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664" w:type="dxa"/>
          </w:tcPr>
          <w:p w:rsidR="00011E69" w:rsidRDefault="00011E6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664" w:type="dxa"/>
          </w:tcPr>
          <w:p w:rsidR="00011E69" w:rsidRDefault="00011E6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664" w:type="dxa"/>
          </w:tcPr>
          <w:p w:rsidR="00011E69" w:rsidRDefault="00011E6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664" w:type="dxa"/>
          </w:tcPr>
          <w:p w:rsidR="00011E69" w:rsidRDefault="00011E69">
            <w:pPr>
              <w:pStyle w:val="ConsPlusNormal"/>
              <w:jc w:val="center"/>
            </w:pPr>
            <w:r>
              <w:t>10</w:t>
            </w:r>
          </w:p>
        </w:tc>
      </w:tr>
      <w:tr w:rsidR="00011E69">
        <w:tc>
          <w:tcPr>
            <w:tcW w:w="9018" w:type="dxa"/>
            <w:gridSpan w:val="10"/>
          </w:tcPr>
          <w:p w:rsidR="00011E69" w:rsidRDefault="00011E69">
            <w:pPr>
              <w:pStyle w:val="ConsPlusNormal"/>
              <w:jc w:val="center"/>
              <w:outlineLvl w:val="2"/>
            </w:pPr>
            <w:r>
              <w:t>"Экономическое развитие в Калужской области"</w:t>
            </w:r>
          </w:p>
        </w:tc>
      </w:tr>
      <w:tr w:rsidR="00011E69">
        <w:tc>
          <w:tcPr>
            <w:tcW w:w="460" w:type="dxa"/>
          </w:tcPr>
          <w:p w:rsidR="00011E69" w:rsidRDefault="00011E6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402" w:type="dxa"/>
          </w:tcPr>
          <w:p w:rsidR="00011E69" w:rsidRDefault="00011E69">
            <w:pPr>
              <w:pStyle w:val="ConsPlusNormal"/>
            </w:pPr>
            <w:r>
              <w:t>Индекс физического объема инвестиций в основной капитал</w:t>
            </w:r>
          </w:p>
        </w:tc>
        <w:tc>
          <w:tcPr>
            <w:tcW w:w="568" w:type="dxa"/>
          </w:tcPr>
          <w:p w:rsidR="00011E69" w:rsidRDefault="00011E69">
            <w:pPr>
              <w:pStyle w:val="ConsPlusNormal"/>
            </w:pPr>
            <w:r>
              <w:t>%</w:t>
            </w:r>
          </w:p>
        </w:tc>
        <w:tc>
          <w:tcPr>
            <w:tcW w:w="604" w:type="dxa"/>
          </w:tcPr>
          <w:p w:rsidR="00011E69" w:rsidRDefault="00011E69">
            <w:pPr>
              <w:pStyle w:val="ConsPlusNormal"/>
              <w:jc w:val="right"/>
            </w:pPr>
            <w:r>
              <w:t>88,8</w:t>
            </w:r>
          </w:p>
        </w:tc>
        <w:tc>
          <w:tcPr>
            <w:tcW w:w="664" w:type="dxa"/>
          </w:tcPr>
          <w:p w:rsidR="00011E69" w:rsidRDefault="00011E69">
            <w:pPr>
              <w:pStyle w:val="ConsPlusNormal"/>
              <w:jc w:val="right"/>
            </w:pPr>
            <w:r>
              <w:t>101,2</w:t>
            </w:r>
          </w:p>
        </w:tc>
        <w:tc>
          <w:tcPr>
            <w:tcW w:w="664" w:type="dxa"/>
          </w:tcPr>
          <w:p w:rsidR="00011E69" w:rsidRDefault="00011E69">
            <w:pPr>
              <w:pStyle w:val="ConsPlusNormal"/>
              <w:jc w:val="right"/>
            </w:pPr>
            <w:r>
              <w:t>101,0</w:t>
            </w:r>
          </w:p>
        </w:tc>
        <w:tc>
          <w:tcPr>
            <w:tcW w:w="664" w:type="dxa"/>
          </w:tcPr>
          <w:p w:rsidR="00011E69" w:rsidRDefault="00011E69">
            <w:pPr>
              <w:pStyle w:val="ConsPlusNormal"/>
              <w:jc w:val="right"/>
            </w:pPr>
            <w:r>
              <w:t>102,2</w:t>
            </w:r>
          </w:p>
        </w:tc>
        <w:tc>
          <w:tcPr>
            <w:tcW w:w="664" w:type="dxa"/>
          </w:tcPr>
          <w:p w:rsidR="00011E69" w:rsidRDefault="00011E69">
            <w:pPr>
              <w:pStyle w:val="ConsPlusNormal"/>
              <w:jc w:val="right"/>
            </w:pPr>
            <w:r>
              <w:t>101,0</w:t>
            </w:r>
          </w:p>
        </w:tc>
        <w:tc>
          <w:tcPr>
            <w:tcW w:w="664" w:type="dxa"/>
          </w:tcPr>
          <w:p w:rsidR="00011E69" w:rsidRDefault="00011E69">
            <w:pPr>
              <w:pStyle w:val="ConsPlusNormal"/>
              <w:jc w:val="right"/>
            </w:pPr>
            <w:r>
              <w:t>103,0</w:t>
            </w:r>
          </w:p>
        </w:tc>
        <w:tc>
          <w:tcPr>
            <w:tcW w:w="664" w:type="dxa"/>
          </w:tcPr>
          <w:p w:rsidR="00011E69" w:rsidRDefault="00011E69">
            <w:pPr>
              <w:pStyle w:val="ConsPlusNormal"/>
              <w:jc w:val="right"/>
            </w:pPr>
            <w:r>
              <w:t>102,0</w:t>
            </w:r>
          </w:p>
        </w:tc>
      </w:tr>
    </w:tbl>
    <w:p w:rsidR="00011E69" w:rsidRDefault="00011E69">
      <w:pPr>
        <w:pStyle w:val="ConsPlusNormal"/>
        <w:jc w:val="both"/>
      </w:pPr>
    </w:p>
    <w:p w:rsidR="00011E69" w:rsidRDefault="00011E69">
      <w:pPr>
        <w:pStyle w:val="ConsPlusNormal"/>
        <w:ind w:firstLine="540"/>
        <w:jc w:val="both"/>
      </w:pPr>
      <w:r>
        <w:t xml:space="preserve">Методика расчета индикатора осуществляется в соответствии с </w:t>
      </w:r>
      <w:hyperlink r:id="rId7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14.11.2015 N 1234 "О порядке разработки, корректировки, осуществления мониторинга и контроля реализации прогноза социально-экономического развития Российской Федерации на среднесрочный период и признании утратившими силу некоторых актов Правительства Российской Федерации" (в ред. постановлений Правительства Российской Федерации от 09.09.2017 N 1090, от 27.04.2018 N 512, от 29.11.2018 N 1439, от 18.05.2019 N 615, от 22.12.2021 N 2391, от 24.03.2023 N 471).</w:t>
      </w:r>
    </w:p>
    <w:p w:rsidR="00011E69" w:rsidRDefault="00011E69">
      <w:pPr>
        <w:pStyle w:val="ConsPlusNormal"/>
        <w:jc w:val="both"/>
      </w:pPr>
    </w:p>
    <w:p w:rsidR="00011E69" w:rsidRDefault="00011E69">
      <w:pPr>
        <w:pStyle w:val="ConsPlusTitle"/>
        <w:jc w:val="center"/>
        <w:outlineLvl w:val="1"/>
      </w:pPr>
      <w:r>
        <w:t>2. Характеристика мер государственного регулирования</w:t>
      </w:r>
    </w:p>
    <w:p w:rsidR="00011E69" w:rsidRDefault="00011E69">
      <w:pPr>
        <w:pStyle w:val="ConsPlusNormal"/>
        <w:jc w:val="both"/>
      </w:pPr>
    </w:p>
    <w:p w:rsidR="00011E69" w:rsidRDefault="00011E69">
      <w:pPr>
        <w:pStyle w:val="ConsPlusNormal"/>
        <w:ind w:firstLine="540"/>
        <w:jc w:val="both"/>
      </w:pPr>
      <w:r>
        <w:t>Сведения об основных мерах правового регулирования в сфере реализации государственной программы в рамках полномочий Калужской области размещаются на официальном сайте ответственного исполнителя государственной программы в сети Интернет по адресу: http://admoblkaluga.ru/sub/econom/Gos_prog_razv/svedeniya/index.php.</w:t>
      </w:r>
    </w:p>
    <w:p w:rsidR="00011E69" w:rsidRDefault="00011E69">
      <w:pPr>
        <w:pStyle w:val="ConsPlusNormal"/>
        <w:spacing w:before="220"/>
        <w:ind w:firstLine="540"/>
        <w:jc w:val="both"/>
      </w:pPr>
      <w:r>
        <w:t>Сведения размещаются в течение десяти рабочих дней с даты вступления в силу соответствующих нормативных правовых актов или изменений в них.</w:t>
      </w:r>
    </w:p>
    <w:p w:rsidR="00011E69" w:rsidRDefault="00011E69">
      <w:pPr>
        <w:pStyle w:val="ConsPlusNormal"/>
        <w:spacing w:before="220"/>
        <w:ind w:firstLine="540"/>
        <w:jc w:val="both"/>
      </w:pPr>
      <w:r>
        <w:t>Ответственность за актуализацию сведений несет ответственный исполнитель государственной программы.</w:t>
      </w:r>
    </w:p>
    <w:p w:rsidR="00011E69" w:rsidRDefault="00011E69">
      <w:pPr>
        <w:pStyle w:val="ConsPlusNormal"/>
        <w:jc w:val="both"/>
      </w:pPr>
    </w:p>
    <w:p w:rsidR="00011E69" w:rsidRDefault="00011E69">
      <w:pPr>
        <w:pStyle w:val="ConsPlusNormal"/>
        <w:jc w:val="both"/>
      </w:pPr>
    </w:p>
    <w:p w:rsidR="00011E69" w:rsidRDefault="00011E69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290E8B" w:rsidRDefault="00290E8B">
      <w:bookmarkStart w:id="1" w:name="_GoBack"/>
      <w:bookmarkEnd w:id="1"/>
    </w:p>
    <w:sectPr w:rsidR="00290E8B">
      <w:pgSz w:w="11905" w:h="16838"/>
      <w:pgMar w:top="1134" w:right="850" w:bottom="1134" w:left="1701" w:header="0" w:footer="0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1E69"/>
    <w:rsid w:val="00011E69"/>
    <w:rsid w:val="00290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D8276B-6751-454C-9D9A-BB396C933A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11E69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011E69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011E69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RZR&amp;n=467665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37&amp;n=161263&amp;dst=59" TargetMode="External"/><Relationship Id="rId5" Type="http://schemas.openxmlformats.org/officeDocument/2006/relationships/hyperlink" Target="https://login.consultant.ru/link/?req=doc&amp;base=RLAW037&amp;n=167980&amp;dst=251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864</Words>
  <Characters>4928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User4</dc:creator>
  <cp:keywords/>
  <dc:description/>
  <cp:lastModifiedBy>User4</cp:lastModifiedBy>
  <cp:revision>1</cp:revision>
  <dcterms:created xsi:type="dcterms:W3CDTF">2024-04-27T05:55:00Z</dcterms:created>
  <dcterms:modified xsi:type="dcterms:W3CDTF">2024-04-27T05:56:00Z</dcterms:modified>
</cp:coreProperties>
</file>